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CA01F" w14:textId="77777777" w:rsidR="00A62E20" w:rsidRPr="007E4F42" w:rsidRDefault="00A62E20" w:rsidP="00A62E20">
      <w:pPr>
        <w:jc w:val="center"/>
        <w:outlineLvl w:val="0"/>
        <w:rPr>
          <w:rFonts w:ascii="Verdana" w:hAnsi="Verdana"/>
          <w:color w:val="000000"/>
          <w:sz w:val="22"/>
          <w:szCs w:val="22"/>
        </w:rPr>
      </w:pPr>
      <w:bookmarkStart w:id="0" w:name="_Toc47107382"/>
      <w:proofErr w:type="spellStart"/>
      <w:r w:rsidRPr="007E4F42">
        <w:rPr>
          <w:rFonts w:ascii="Verdana" w:hAnsi="Verdana"/>
          <w:color w:val="000000"/>
          <w:sz w:val="22"/>
          <w:szCs w:val="22"/>
        </w:rPr>
        <w:t>Peevyhouse</w:t>
      </w:r>
      <w:proofErr w:type="spellEnd"/>
      <w:r w:rsidRPr="007E4F42">
        <w:rPr>
          <w:rFonts w:ascii="Verdana" w:hAnsi="Verdana"/>
          <w:color w:val="000000"/>
          <w:sz w:val="22"/>
          <w:szCs w:val="22"/>
        </w:rPr>
        <w:t xml:space="preserve"> v. Garland Coal &amp; Mining Co.</w:t>
      </w:r>
      <w:bookmarkEnd w:id="0"/>
    </w:p>
    <w:p w14:paraId="2547870D" w14:textId="77777777" w:rsidR="00A62E20" w:rsidRPr="007E4F42" w:rsidRDefault="00A62E20" w:rsidP="00A62E20">
      <w:pPr>
        <w:jc w:val="center"/>
        <w:rPr>
          <w:rFonts w:ascii="Verdana" w:hAnsi="Verdana"/>
          <w:color w:val="000000"/>
          <w:sz w:val="22"/>
          <w:szCs w:val="22"/>
        </w:rPr>
      </w:pPr>
      <w:r w:rsidRPr="007E4F42">
        <w:rPr>
          <w:rFonts w:ascii="Verdana" w:hAnsi="Verdana"/>
          <w:color w:val="000000"/>
          <w:sz w:val="22"/>
          <w:szCs w:val="22"/>
        </w:rPr>
        <w:t>382 P.2D 109 (Okla. 1962)</w:t>
      </w:r>
    </w:p>
    <w:p w14:paraId="4414C3A1"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6BA1E362"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Jackson, Justice.</w:t>
      </w:r>
    </w:p>
    <w:p w14:paraId="3C9D1605"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71629B8D"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 xml:space="preserve">In the trial court, plaintiffs Willie and Lucille </w:t>
      </w:r>
      <w:proofErr w:type="spellStart"/>
      <w:r w:rsidRPr="007E4F42">
        <w:rPr>
          <w:rFonts w:ascii="Verdana" w:hAnsi="Verdana"/>
          <w:color w:val="000000"/>
          <w:sz w:val="22"/>
          <w:szCs w:val="22"/>
        </w:rPr>
        <w:t>Peevyhouse</w:t>
      </w:r>
      <w:proofErr w:type="spellEnd"/>
      <w:r w:rsidRPr="007E4F42">
        <w:rPr>
          <w:rFonts w:ascii="Verdana" w:hAnsi="Verdana"/>
          <w:color w:val="000000"/>
          <w:sz w:val="22"/>
          <w:szCs w:val="22"/>
        </w:rPr>
        <w:t xml:space="preserve"> sued the defendant, Garland Coal and Mining Company, for damages for breach of contract. Judgment was for plaintiffs in an amount considerably less than was sued for. Plaintiffs appeal and defendant cross-appeals.</w:t>
      </w:r>
    </w:p>
    <w:p w14:paraId="6EF652FA"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7ADA2A3E"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Briefly stated, the facts are as follows: plaintiffs owned a farm containing coal deposits, and in November, 1954, leased the premises to defendant for a period of five years for coal mining purposes. A 'strip-mining' operation was contemplated in which the coal would be taken from pits on the surface of the ground, instead of from underground mine shafts. In addition to the usual covenants found in a coal mining lease, defendant specifically agreed to perform certain restorative and remedial work at the end of the lease period. It is unnecessary to set out the details of the work to be done, other than to say that it would involve the moving of many thousands of cubic yards of dirt, at a cost estimated by expert witnesses at about $29,000.00. However, plaintiffs sued for only $25,000.00.</w:t>
      </w:r>
    </w:p>
    <w:p w14:paraId="1E937C3E"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 </w:t>
      </w:r>
    </w:p>
    <w:p w14:paraId="1B1229C5"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During the trial, it was stipulated that all covenants and agreements in the lease contract had been fully carried out by both parties, except the remedial work mentioned above; defendant conceded that this work had not been done.</w:t>
      </w:r>
    </w:p>
    <w:p w14:paraId="22D93CD7"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02FFC885"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Plaintiffs introduced expert testimony as to the amount and nature of the work to be done, and its estimated cost. Over plaintiffs' objections, defendant thereafter introduced expert testimony as to the 'diminution in value' of plaintiffs' farm resulting from the failure of defendant to render performance as agreed in the contract -- that is, the difference between the present value of the farm, and what its value would have been if defendant had done what it agreed to do.</w:t>
      </w:r>
    </w:p>
    <w:p w14:paraId="29BC4393"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36792D28"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At the conclusion of the trial, the court instructed the jury that it must return a verdict for plaintiffs, and left the amount of damages for jury determination. On the measure of damages, the court instructed the jury that it might consider the cost of performance of the work defendant agreed to do, 'together with all of the evidence offered on behalf of either party'.</w:t>
      </w:r>
    </w:p>
    <w:p w14:paraId="61C61E56"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It thus appears that the jury was at liberty to consider the 'diminution in value' of plaintiffs' farm as well as the cost of 'repair work' in determining the amount of damages.</w:t>
      </w:r>
    </w:p>
    <w:p w14:paraId="0886BC09"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33E8633C"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It returned a verdict for plaintiffs for $5000.00 -- only a fraction of the 'cost of performance', but more than the total value of the farm even after the remedial work is done.</w:t>
      </w:r>
    </w:p>
    <w:p w14:paraId="7533D6F3"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60CA2688"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 xml:space="preserve">On appeal, the issue is sharply drawn. Plaintiffs contend that the true measure of damages in this case is what it will cost plaintiffs to obtain performance </w:t>
      </w:r>
      <w:r w:rsidRPr="007E4F42">
        <w:rPr>
          <w:rFonts w:ascii="Verdana" w:hAnsi="Verdana"/>
          <w:color w:val="000000"/>
          <w:sz w:val="22"/>
          <w:szCs w:val="22"/>
        </w:rPr>
        <w:lastRenderedPageBreak/>
        <w:t>of the work that was not done because of defendant's default. Defendant argues that the measure of damages is the cost of performance 'limited, however, to the total difference in the market value before and after the work was performed'.</w:t>
      </w:r>
    </w:p>
    <w:p w14:paraId="46350BCB"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7C124328"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 xml:space="preserve">Plaintiffs rely on Groves v. John </w:t>
      </w:r>
      <w:proofErr w:type="spellStart"/>
      <w:r w:rsidRPr="007E4F42">
        <w:rPr>
          <w:rFonts w:ascii="Verdana" w:hAnsi="Verdana"/>
          <w:color w:val="000000"/>
          <w:sz w:val="22"/>
          <w:szCs w:val="22"/>
        </w:rPr>
        <w:t>Wunder</w:t>
      </w:r>
      <w:proofErr w:type="spellEnd"/>
      <w:r w:rsidRPr="007E4F42">
        <w:rPr>
          <w:rFonts w:ascii="Verdana" w:hAnsi="Verdana"/>
          <w:color w:val="000000"/>
          <w:sz w:val="22"/>
          <w:szCs w:val="22"/>
        </w:rPr>
        <w:t xml:space="preserve"> Co., 205 Minn. 163, 286 N.W. 235, 123 A.L.R. 502. In that case, the Minnesota court, in a substantially similar situation, adopted the 'cost of performance' rule as-opposed to the 'value' rule. The result was to authorize a jury to give plaintiff damages in the amount of $60,000, where the real estate concerned would have been worth only $12,160, even if the work contracted for had been done.</w:t>
      </w:r>
    </w:p>
    <w:p w14:paraId="63A7629F"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277F48CD"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 xml:space="preserve">It may be observed that Groves v. John </w:t>
      </w:r>
      <w:proofErr w:type="spellStart"/>
      <w:r w:rsidRPr="007E4F42">
        <w:rPr>
          <w:rFonts w:ascii="Verdana" w:hAnsi="Verdana"/>
          <w:color w:val="000000"/>
          <w:sz w:val="22"/>
          <w:szCs w:val="22"/>
        </w:rPr>
        <w:t>Wunder</w:t>
      </w:r>
      <w:proofErr w:type="spellEnd"/>
      <w:r w:rsidRPr="007E4F42">
        <w:rPr>
          <w:rFonts w:ascii="Verdana" w:hAnsi="Verdana"/>
          <w:color w:val="000000"/>
          <w:sz w:val="22"/>
          <w:szCs w:val="22"/>
        </w:rPr>
        <w:t xml:space="preserve"> Co., supra, is the only case which has come to our attention in which the cost of performance rule has been followed under circumstances where the cost of performance greatly exceeded the diminution in value resulting from the breach of contract. Incidentally, it appears that this case was decided by a plurality rather than a majority of the members of the court.</w:t>
      </w:r>
    </w:p>
    <w:p w14:paraId="5918AE8C"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22ED150A"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Defendant relies principally upon Sandy Valley &amp; E. R. Co., v. Hughes, 175 Ky. 320, 194 S.W. 344; Bigham v. Wabash-Pittsburg Terminal Ry. Co., 223 Pa. 106, 72 A. 318; and Sweeney v. Lewis Const. Co., 66 Wash. 490, 119 P. 1108. These were all cases in which, under similar circumstances, the appellate courts followed the 'value' rule instead of the 'cost of performance' rule. It is of some significance that three out of four appellate courts have followed the diminution in value rule under circumstances where, as here, the cost of performance greatly exceeds the diminution in value.</w:t>
      </w:r>
    </w:p>
    <w:p w14:paraId="7C4CF4D9"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2F5A2F54"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The explanation may be found in the fact that the situations presented are artificial ones. It is highly unlikely that the ordinary property owner would agree to pay $29,000 (or its equivalent) for the construction of 'improvements' upon his property that would increase its value only about ($300) three hundred dollars. The result is that we are called upon to apply principles of law theoretically based upon reason and reality to a situation which is basically unreasonable and unrealistic.</w:t>
      </w:r>
    </w:p>
    <w:p w14:paraId="31D68527"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0DBF08A1"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On the other hand, in McCormick, Damages, Section 168, it is said with regard to building and construction contracts that '* * * in cases where the defect is one that can be repaired or cured without undue expense' the cost of performance is the proper measure of damages, but where '* * * the defect in material or construction is one that cannot be remedied without an expenditure for reconstruction disproportionate to the end to be attained', the value rule should be followed. The same idea was expressed in Jacob &amp; Youngs, Inc. v. Kent, 230 N.Y. 239, 129 N.E. 889, 23 A.L.R. 1429, as follows:  'The owner is entitled to the money which will permit him to complete, unless the cost of completion is grossly and unfairly out of proportion to the good to be attained. When that is true, the measure is the difference in value.'</w:t>
      </w:r>
    </w:p>
    <w:p w14:paraId="74BACBB2"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3D25693F"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lastRenderedPageBreak/>
        <w:t>It thus appears that the prime consideration in Jacob &amp; Youngs, Inc. v. Kent, supra, was the relationship between the expense involved and the 'end to be attained' -- in other words, the 'relative economic benefit'.</w:t>
      </w:r>
    </w:p>
    <w:p w14:paraId="5F4359D8"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35DAAA02"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 xml:space="preserve">In view of the unrealistic fact situation in the instant case, we are of the opinion that the 'relative economic benefit' is a proper consideration here. This is in accord with the recent case of Mann v. </w:t>
      </w:r>
      <w:proofErr w:type="spellStart"/>
      <w:r w:rsidRPr="007E4F42">
        <w:rPr>
          <w:rFonts w:ascii="Verdana" w:hAnsi="Verdana"/>
          <w:color w:val="000000"/>
          <w:sz w:val="22"/>
          <w:szCs w:val="22"/>
        </w:rPr>
        <w:t>Clowser</w:t>
      </w:r>
      <w:proofErr w:type="spellEnd"/>
      <w:r w:rsidRPr="007E4F42">
        <w:rPr>
          <w:rFonts w:ascii="Verdana" w:hAnsi="Verdana"/>
          <w:color w:val="000000"/>
          <w:sz w:val="22"/>
          <w:szCs w:val="22"/>
        </w:rPr>
        <w:t>, 190 Va. 887, 59 S.E.2d 78, where, in applying the cost rule, the Virginia court specifically noted that '* * * the defects are remediable from a practical standpoint and the costs are not grossly disproportionate to the results to be obtained'.</w:t>
      </w:r>
    </w:p>
    <w:p w14:paraId="20B8CFD7"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6D0A3F06"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We therefore hold that where, in a coal mining lease, lessee agrees to perform certain remedial work on the premises concerned at the end of the lease period, and thereafter the contract is fully performed by both parties except that the remedial work is not done, the measure of damages in an action by lessor against lessee for damages for breach of contract is ordinarily the reasonable cost of performance of the work; however . . . where the economic benefit which would result to lessor by full performance of the work is grossly disproportionate to the cost of performance, the damages which lessor may recover are limited to the diminution in value resulting to the premises because of the non-performance.</w:t>
      </w:r>
    </w:p>
    <w:p w14:paraId="3D20B3CE"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 </w:t>
      </w:r>
    </w:p>
    <w:p w14:paraId="2A9EAB99"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Under the most liberal view of the evidence herein, the diminution in value resulting to the premises because of non-performance of the remedial work was $300.00. After a careful search of the record, we have found no evidence of a higher figure, and plaintiffs do not argue in their briefs that a greater diminution in value was sustained. It thus appears that the judgment was clearly excessive, and that the amount for which judgment should have been rendered is definitely and satisfactorily shown by the record.</w:t>
      </w:r>
    </w:p>
    <w:p w14:paraId="2429C42E"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7157EA01"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We are asked by each party to modify the judgment in accordance with the respective theories advanced, and it is conceded that we have authority to do so.</w:t>
      </w:r>
    </w:p>
    <w:p w14:paraId="54B92BA3"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5ECBEF0B" w14:textId="77777777" w:rsidR="00A62E20" w:rsidRPr="007E4F42" w:rsidRDefault="00A62E20" w:rsidP="00A62E20">
      <w:pPr>
        <w:ind w:firstLine="720"/>
        <w:rPr>
          <w:rFonts w:ascii="Verdana" w:hAnsi="Verdana"/>
          <w:color w:val="000000"/>
          <w:sz w:val="22"/>
          <w:szCs w:val="22"/>
        </w:rPr>
      </w:pPr>
      <w:r w:rsidRPr="007E4F42">
        <w:rPr>
          <w:rFonts w:ascii="Verdana" w:hAnsi="Verdana"/>
          <w:color w:val="000000"/>
          <w:sz w:val="22"/>
          <w:szCs w:val="22"/>
        </w:rPr>
        <w:t>We are of the opinion that the judgment of the trial court for plaintiffs should be, and it is hereby, modified and reduced to the sum of $300.00, and as so modified it is affirmed.</w:t>
      </w:r>
    </w:p>
    <w:p w14:paraId="509E693D"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683826BE"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WELCH, DAVISON, HALLEY, and JOHNSON, JJ., concur.</w:t>
      </w:r>
    </w:p>
    <w:p w14:paraId="4D334234"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 </w:t>
      </w:r>
    </w:p>
    <w:p w14:paraId="427FB668" w14:textId="77777777" w:rsidR="00A62E20" w:rsidRPr="007E4F42" w:rsidRDefault="00A62E20" w:rsidP="00A62E20">
      <w:pPr>
        <w:rPr>
          <w:rFonts w:ascii="Verdana" w:hAnsi="Verdana"/>
          <w:color w:val="000000"/>
          <w:sz w:val="22"/>
          <w:szCs w:val="22"/>
        </w:rPr>
      </w:pPr>
      <w:r w:rsidRPr="007E4F42">
        <w:rPr>
          <w:rFonts w:ascii="Verdana" w:hAnsi="Verdana"/>
          <w:color w:val="000000"/>
          <w:sz w:val="22"/>
          <w:szCs w:val="22"/>
        </w:rPr>
        <w:t>WILLIAMS, C. J., BLACKBIRD, V. C. J., and IRWIN and BERRY, JJ., dissent.</w:t>
      </w:r>
    </w:p>
    <w:p w14:paraId="388594BD" w14:textId="77777777" w:rsidR="00D84A65" w:rsidRDefault="00A62E20" w:rsidP="00A62E20">
      <w:r w:rsidRPr="007E4F42">
        <w:rPr>
          <w:rFonts w:ascii="Verdana" w:hAnsi="Verdana"/>
          <w:color w:val="000000"/>
          <w:sz w:val="22"/>
          <w:szCs w:val="22"/>
        </w:rPr>
        <w:t> </w:t>
      </w:r>
    </w:p>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20"/>
    <w:rsid w:val="00A62E20"/>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5689"/>
  <w15:chartTrackingRefBased/>
  <w15:docId w15:val="{3BA945D1-4B7E-4633-B28A-1FAE3223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E20"/>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1219</Words>
  <Characters>6950</Characters>
  <Application>Microsoft Office Word</Application>
  <DocSecurity>0</DocSecurity>
  <Lines>57</Lines>
  <Paragraphs>16</Paragraphs>
  <ScaleCrop>false</ScaleCrop>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2020-09-20T00:48:00Z</dcterms:created>
  <dcterms:modified xsi:type="dcterms:W3CDTF">2020-09-20T00:54:00Z</dcterms:modified>
</cp:coreProperties>
</file>