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1B431" w14:textId="77777777" w:rsidR="005D588E" w:rsidRPr="007E4F42" w:rsidRDefault="005D588E" w:rsidP="005D588E">
      <w:pPr>
        <w:jc w:val="center"/>
        <w:outlineLvl w:val="0"/>
        <w:rPr>
          <w:rStyle w:val="apple-converted-space"/>
          <w:rFonts w:ascii="Verdana" w:hAnsi="Verdana"/>
          <w:color w:val="000000"/>
          <w:sz w:val="22"/>
          <w:szCs w:val="22"/>
        </w:rPr>
      </w:pPr>
      <w:bookmarkStart w:id="0" w:name="_Toc47106648"/>
      <w:r w:rsidRPr="007E4F42">
        <w:rPr>
          <w:rFonts w:ascii="Verdana" w:hAnsi="Verdana"/>
          <w:color w:val="000000"/>
          <w:sz w:val="22"/>
          <w:szCs w:val="22"/>
        </w:rPr>
        <w:t>Webb v.</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bookmarkEnd w:id="0"/>
      <w:proofErr w:type="spellEnd"/>
      <w:r w:rsidRPr="007E4F42">
        <w:rPr>
          <w:rStyle w:val="apple-converted-space"/>
          <w:rFonts w:ascii="Verdana" w:hAnsi="Verdana"/>
          <w:color w:val="000000"/>
          <w:sz w:val="22"/>
          <w:szCs w:val="22"/>
        </w:rPr>
        <w:t> </w:t>
      </w:r>
    </w:p>
    <w:p w14:paraId="034A7AD2" w14:textId="77777777" w:rsidR="005D588E" w:rsidRPr="007E4F42" w:rsidRDefault="005D588E" w:rsidP="005D588E">
      <w:pPr>
        <w:jc w:val="center"/>
        <w:rPr>
          <w:rFonts w:ascii="Verdana" w:hAnsi="Verdana"/>
          <w:color w:val="000000"/>
          <w:sz w:val="22"/>
          <w:szCs w:val="22"/>
        </w:rPr>
      </w:pPr>
      <w:r w:rsidRPr="007E4F42">
        <w:rPr>
          <w:rFonts w:ascii="Verdana" w:hAnsi="Verdana"/>
          <w:color w:val="000000"/>
          <w:sz w:val="22"/>
          <w:szCs w:val="22"/>
        </w:rPr>
        <w:t>168 So. 196 (Ala. Ct. App. 1935)</w:t>
      </w:r>
    </w:p>
    <w:p w14:paraId="5B56748C" w14:textId="77777777" w:rsidR="005D588E" w:rsidRPr="007E4F42" w:rsidRDefault="005D588E" w:rsidP="005D588E">
      <w:pPr>
        <w:rPr>
          <w:rStyle w:val="spelle"/>
          <w:rFonts w:ascii="Verdana" w:hAnsi="Verdana"/>
          <w:color w:val="000000"/>
          <w:sz w:val="22"/>
          <w:szCs w:val="22"/>
        </w:rPr>
      </w:pPr>
    </w:p>
    <w:p w14:paraId="1EC209C9" w14:textId="77777777" w:rsidR="005D588E" w:rsidRPr="007E4F42" w:rsidRDefault="005D588E" w:rsidP="005D588E">
      <w:pPr>
        <w:rPr>
          <w:rFonts w:ascii="Verdana" w:hAnsi="Verdana"/>
          <w:color w:val="000000"/>
          <w:sz w:val="22"/>
          <w:szCs w:val="22"/>
        </w:rPr>
      </w:pPr>
      <w:proofErr w:type="spellStart"/>
      <w:r w:rsidRPr="007E4F42">
        <w:rPr>
          <w:rStyle w:val="spelle"/>
          <w:rFonts w:ascii="Verdana" w:hAnsi="Verdana"/>
          <w:color w:val="000000"/>
          <w:sz w:val="22"/>
          <w:szCs w:val="22"/>
        </w:rPr>
        <w:t>Bricken</w:t>
      </w:r>
      <w:proofErr w:type="spellEnd"/>
      <w:r w:rsidRPr="007E4F42">
        <w:rPr>
          <w:rFonts w:ascii="Verdana" w:hAnsi="Verdana"/>
          <w:color w:val="000000"/>
          <w:sz w:val="22"/>
          <w:szCs w:val="22"/>
        </w:rPr>
        <w:t>, Presiding Judge.</w:t>
      </w:r>
    </w:p>
    <w:p w14:paraId="14FE3638" w14:textId="77777777" w:rsidR="005D588E" w:rsidRPr="007E4F42" w:rsidRDefault="005D588E" w:rsidP="005D588E">
      <w:pPr>
        <w:rPr>
          <w:rFonts w:ascii="Verdana" w:hAnsi="Verdana"/>
          <w:color w:val="000000"/>
          <w:sz w:val="22"/>
          <w:szCs w:val="22"/>
        </w:rPr>
      </w:pPr>
      <w:r w:rsidRPr="007E4F42">
        <w:rPr>
          <w:rFonts w:ascii="Verdana" w:hAnsi="Verdana"/>
          <w:color w:val="000000"/>
          <w:sz w:val="22"/>
          <w:szCs w:val="22"/>
        </w:rPr>
        <w:t> </w:t>
      </w:r>
    </w:p>
    <w:p w14:paraId="7772BFC8"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This action is in</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assumpsit</w:t>
      </w:r>
      <w:r w:rsidRPr="007E4F42">
        <w:rPr>
          <w:rFonts w:ascii="Verdana" w:hAnsi="Verdana"/>
          <w:color w:val="000000"/>
          <w:sz w:val="22"/>
          <w:szCs w:val="22"/>
        </w:rPr>
        <w:t>. The complaint as originally filed was amended. The demurrers to the complaint as amended were sustained, and because of this adverse ruling by the court the plaintiff took a</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nonsuit</w:t>
      </w:r>
      <w:r w:rsidRPr="007E4F42">
        <w:rPr>
          <w:rFonts w:ascii="Verdana" w:hAnsi="Verdana"/>
          <w:color w:val="000000"/>
          <w:sz w:val="22"/>
          <w:szCs w:val="22"/>
        </w:rPr>
        <w:t>, and the assignment of errors on this appeal are predicated upon said action or ruling of the court.</w:t>
      </w:r>
    </w:p>
    <w:p w14:paraId="083459C4"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5B645C4A"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A fair statement of the case presenting the questions for decision is set out in appellant's brief, which we adopt.</w:t>
      </w:r>
    </w:p>
    <w:p w14:paraId="3435638B"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"On the 3d day of August, 1925, appellant while in the employ of the W. T. Smith Lumber Company, a corporation, and acting within the scope of his employment, was engaged in clearing the upper floor of mill No. 2 of the company. While so engaged he was in the act of dropping a pine block from the upper floor of the mill to the ground below; this being the usual and ordinary way of clearing the floor, and it being the duty of the plaintiff in the course of his employment to so drop it. The block weighed about 75 pounds.</w:t>
      </w:r>
    </w:p>
    <w:p w14:paraId="7F388B1B"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373D932E"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"As appellant was in the act of dropping the block to the ground below, he was on the edge of the upper floor of the mill. As he started to turn the block loose so that would drop to the ground, he saw J. Greeley</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Fonts w:ascii="Verdana" w:hAnsi="Verdana"/>
          <w:color w:val="000000"/>
          <w:sz w:val="22"/>
          <w:szCs w:val="22"/>
        </w:rPr>
        <w:t>, testator of the defendants, on the ground below and directly under where the block would have fallen had appellant turned it loose. Had he turned it loose it would have struck</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with such force as to have caused him serious bodily harm or death. Appellant could have remained safely on the upper floor of the mill by turning the block loose and allowing it to drop, but had he done this the block would have fallen on</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spelle"/>
          <w:rFonts w:ascii="Verdana" w:hAnsi="Verdana"/>
          <w:color w:val="000000"/>
          <w:sz w:val="22"/>
          <w:szCs w:val="22"/>
        </w:rPr>
        <w:t xml:space="preserve"> </w:t>
      </w:r>
      <w:r w:rsidRPr="007E4F42">
        <w:rPr>
          <w:rFonts w:ascii="Verdana" w:hAnsi="Verdana"/>
          <w:color w:val="000000"/>
          <w:sz w:val="22"/>
          <w:szCs w:val="22"/>
        </w:rPr>
        <w:t>and caused him serious injuries or death. The only safe and reasonable way to prevent this was for appellant to hold to the block and divert its direction in falling from the place where</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was standing and the only safe way to divert it so as to prevent its coming into contact with</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was for appellant to fall with it to the ground below. Appellant did this, and by holding to the block and falling with it to the ground below, he diverted the course of its fall in such way that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was not injured. In thus preventing the injuries to</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appellant himself received serious bodily injuries, resulting in his right leg being broken, the heel of his right foot torn off and his right arm broken. He was badly crippled for life and rendered unable to do physical or mental labor.</w:t>
      </w:r>
    </w:p>
    <w:p w14:paraId="504415AA"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5EFFFF4F" w14:textId="718A0CE1"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"On September 1, 1925, in consideration of appellant having, prevented him from sustaining death or serious bodily harm and in consideration of the injuries appellant had received,</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agreed with him to care for and maintain him for the remainder of appellant's life at the rate of $15 every two weeks from the time he sustained his injuries to and during the remainder of appellant's life; it being agreed that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would pay this sum to appellant for his maintenance. Under the agreement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paid or caused to be paid to appellant the sum so agreed on up until</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McGowin's</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death on</w:t>
      </w:r>
      <w:r w:rsidRPr="007E4F42">
        <w:rPr>
          <w:rStyle w:val="apple-converted-space"/>
          <w:rFonts w:ascii="Verdana" w:hAnsi="Verdana"/>
          <w:color w:val="000000"/>
          <w:sz w:val="22"/>
          <w:szCs w:val="22"/>
        </w:rPr>
        <w:t> </w:t>
      </w:r>
      <w:r w:rsidRPr="007E4F42">
        <w:rPr>
          <w:rFonts w:ascii="Verdana" w:hAnsi="Verdana"/>
          <w:color w:val="000000"/>
          <w:sz w:val="22"/>
          <w:szCs w:val="22"/>
        </w:rPr>
        <w:t>January 1, 1934. After his death the payments were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continu</w:t>
      </w:r>
      <w:r w:rsidR="003E1A1B">
        <w:rPr>
          <w:rStyle w:val="spelle"/>
          <w:rFonts w:ascii="Verdana" w:hAnsi="Verdana"/>
          <w:color w:val="000000"/>
          <w:sz w:val="22"/>
          <w:szCs w:val="22"/>
        </w:rPr>
        <w:t>e</w:t>
      </w:r>
      <w:r w:rsidRPr="007E4F42">
        <w:rPr>
          <w:rStyle w:val="spelle"/>
          <w:rFonts w:ascii="Verdana" w:hAnsi="Verdana"/>
          <w:color w:val="000000"/>
          <w:sz w:val="22"/>
          <w:szCs w:val="22"/>
        </w:rPr>
        <w:t>d</w:t>
      </w:r>
      <w:r w:rsidRPr="007E4F42">
        <w:rPr>
          <w:rStyle w:val="apple-converted-space"/>
          <w:rFonts w:ascii="Verdana" w:hAnsi="Verdana"/>
          <w:color w:val="000000"/>
          <w:sz w:val="22"/>
          <w:szCs w:val="22"/>
        </w:rPr>
        <w:t> </w:t>
      </w:r>
      <w:r w:rsidRPr="007E4F42">
        <w:rPr>
          <w:rFonts w:ascii="Verdana" w:hAnsi="Verdana"/>
          <w:color w:val="000000"/>
          <w:sz w:val="22"/>
          <w:szCs w:val="22"/>
        </w:rPr>
        <w:t>to and including</w:t>
      </w:r>
      <w:r w:rsidRPr="007E4F42">
        <w:rPr>
          <w:rStyle w:val="apple-converted-space"/>
          <w:rFonts w:ascii="Verdana" w:hAnsi="Verdana"/>
          <w:color w:val="000000"/>
          <w:sz w:val="22"/>
          <w:szCs w:val="22"/>
        </w:rPr>
        <w:t> </w:t>
      </w:r>
      <w:r w:rsidRPr="007E4F42">
        <w:rPr>
          <w:rFonts w:ascii="Verdana" w:hAnsi="Verdana"/>
          <w:color w:val="000000"/>
          <w:sz w:val="22"/>
          <w:szCs w:val="22"/>
        </w:rPr>
        <w:t xml:space="preserve">January 27, 1934, at which time they were </w:t>
      </w:r>
      <w:r w:rsidRPr="007E4F42">
        <w:rPr>
          <w:rFonts w:ascii="Verdana" w:hAnsi="Verdana"/>
          <w:color w:val="000000"/>
          <w:sz w:val="22"/>
          <w:szCs w:val="22"/>
        </w:rPr>
        <w:lastRenderedPageBreak/>
        <w:t>discontinued. Thereupon plaintiff brought suit to recover the unpaid installments accruing up to the time of the bringing of the suit.</w:t>
      </w:r>
    </w:p>
    <w:p w14:paraId="1DF270C3"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78DCB45D"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"The material averments of the different counts of the original complaint and the amended complaint are predicated upon the forgoing statement of facts."</w:t>
      </w:r>
    </w:p>
    <w:p w14:paraId="46005795"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162CDC74"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xml:space="preserve">In other words, the complaint as amended averred in substance: (1) That on August 3, 1925 appellant saved J. Greeley </w:t>
      </w:r>
      <w:proofErr w:type="spellStart"/>
      <w:r w:rsidRPr="007E4F42">
        <w:rPr>
          <w:rStyle w:val="spelle"/>
          <w:rFonts w:ascii="Verdana" w:hAnsi="Verdana"/>
          <w:color w:val="000000"/>
          <w:sz w:val="22"/>
          <w:szCs w:val="22"/>
        </w:rPr>
        <w:t>McGowin</w:t>
      </w:r>
      <w:proofErr w:type="spellEnd"/>
      <w:r w:rsidRPr="007E4F42">
        <w:rPr>
          <w:rFonts w:ascii="Verdana" w:hAnsi="Verdana"/>
          <w:color w:val="000000"/>
          <w:sz w:val="22"/>
          <w:szCs w:val="22"/>
        </w:rPr>
        <w:t>,</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appellee's</w:t>
      </w:r>
      <w:r w:rsidRPr="007E4F42">
        <w:rPr>
          <w:rStyle w:val="apple-converted-space"/>
          <w:rFonts w:ascii="Verdana" w:hAnsi="Verdana"/>
          <w:color w:val="000000"/>
          <w:sz w:val="22"/>
          <w:szCs w:val="22"/>
        </w:rPr>
        <w:t> </w:t>
      </w:r>
      <w:r w:rsidRPr="007E4F42">
        <w:rPr>
          <w:rFonts w:ascii="Verdana" w:hAnsi="Verdana"/>
          <w:color w:val="000000"/>
          <w:sz w:val="22"/>
          <w:szCs w:val="22"/>
        </w:rPr>
        <w:t>testator from death or grievous bodily harm; (2) that in doing so appellant sustained bodily injury crippling him for life; (3) that in consideration of the services rendered and the injuries received by appellant,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agreed to care for him the remainder of appellant's life, the amount to be paid being $15 every two weeks; (4) that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complied with this agreement until he died on January 1, 1934, and the payments were kept up to January 27, 1934, after which they were discontinued.</w:t>
      </w:r>
    </w:p>
    <w:p w14:paraId="52120224"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17E8FB2B"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The action was for the unpaid installments accruing after</w:t>
      </w:r>
      <w:r w:rsidRPr="007E4F42">
        <w:rPr>
          <w:rStyle w:val="apple-converted-space"/>
          <w:rFonts w:ascii="Verdana" w:hAnsi="Verdana"/>
          <w:color w:val="000000"/>
          <w:sz w:val="22"/>
          <w:szCs w:val="22"/>
        </w:rPr>
        <w:t> </w:t>
      </w:r>
      <w:r w:rsidRPr="007E4F42">
        <w:rPr>
          <w:rFonts w:ascii="Verdana" w:hAnsi="Verdana"/>
          <w:color w:val="000000"/>
          <w:sz w:val="22"/>
          <w:szCs w:val="22"/>
        </w:rPr>
        <w:t>January 27, 1934, to the time of the suit.</w:t>
      </w:r>
    </w:p>
    <w:p w14:paraId="5FF85D29"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561AE51B"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The principal grounds of demurrer to the original and amended complaint are: (1) It states no cause of action; (2) its averments show the contract was without consideration; (3) it fails to allege that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had, at or before the services were rendered, agreed to pay appellant for them; . . .  </w:t>
      </w:r>
    </w:p>
    <w:p w14:paraId="60D41645"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436750A0"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The averments of the complaint show that appellant saved</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from death or grievous bodily harm. This was a material benefit to him of infinitely more value than any financial aid he could have received. Receiving this benefit,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became morally bound to compensate appellant for the services rendered. Recognizing his moral obligation, he expressly agreed to pay appellant as alleged in the complaint and complied with this agreement up to the time of his death; a period of more than 8 years.</w:t>
      </w:r>
    </w:p>
    <w:p w14:paraId="6D8CD1C1"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4E57CBD4"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Had</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been accidentally poisoned and a physician, without his knowledge or request, had administered an antidote, thus saving his life, a subsequent promise by</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to pay the physician would have been valid. Likewise,</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McGowin's</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agreement as disclosed by the complaint to compensate appellant for saving him from death or grievous bodily injury is valid and enforceable.</w:t>
      </w:r>
    </w:p>
    <w:p w14:paraId="19336174"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632E6605"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Where the</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promisee</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cares for, improves, and preserves the property of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w:t>
      </w:r>
      <w:r w:rsidRPr="007E4F42">
        <w:rPr>
          <w:rFonts w:ascii="Verdana" w:hAnsi="Verdana"/>
          <w:color w:val="000000"/>
          <w:sz w:val="22"/>
          <w:szCs w:val="22"/>
        </w:rPr>
        <w:t>, though done without his request, it is sufficient consideration for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promisor's</w:t>
      </w:r>
      <w:r w:rsidRPr="007E4F42">
        <w:rPr>
          <w:rStyle w:val="apple-converted-space"/>
          <w:rFonts w:ascii="Verdana" w:hAnsi="Verdana"/>
          <w:color w:val="000000"/>
          <w:sz w:val="22"/>
          <w:szCs w:val="22"/>
        </w:rPr>
        <w:t> </w:t>
      </w:r>
      <w:r w:rsidRPr="007E4F42">
        <w:rPr>
          <w:rFonts w:ascii="Verdana" w:hAnsi="Verdana"/>
          <w:color w:val="000000"/>
          <w:sz w:val="22"/>
          <w:szCs w:val="22"/>
        </w:rPr>
        <w:t>subsequent agreement to pay for the service because of the material benefit received</w:t>
      </w:r>
      <w:r w:rsidRPr="007E4F42">
        <w:rPr>
          <w:rStyle w:val="apple-converted-space"/>
          <w:rFonts w:ascii="Verdana" w:hAnsi="Verdana"/>
          <w:color w:val="000000"/>
          <w:sz w:val="22"/>
          <w:szCs w:val="22"/>
        </w:rPr>
        <w:t> </w:t>
      </w:r>
      <w:r w:rsidRPr="007E4F42">
        <w:rPr>
          <w:rFonts w:ascii="Verdana" w:hAnsi="Verdana"/>
          <w:color w:val="000000"/>
          <w:sz w:val="22"/>
          <w:szCs w:val="22"/>
        </w:rPr>
        <w:br/>
        <w:t>. . .</w:t>
      </w:r>
    </w:p>
    <w:p w14:paraId="060CC794"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In</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Boothe</w:t>
      </w:r>
      <w:r w:rsidRPr="007E4F42">
        <w:rPr>
          <w:rStyle w:val="apple-converted-space"/>
          <w:rFonts w:ascii="Verdana" w:hAnsi="Verdana"/>
          <w:color w:val="000000"/>
          <w:sz w:val="22"/>
          <w:szCs w:val="22"/>
        </w:rPr>
        <w:t> </w:t>
      </w:r>
      <w:r w:rsidRPr="007E4F42">
        <w:rPr>
          <w:rFonts w:ascii="Verdana" w:hAnsi="Verdana"/>
          <w:color w:val="000000"/>
          <w:sz w:val="22"/>
          <w:szCs w:val="22"/>
        </w:rPr>
        <w:t>v. Fitzpatrick, 36</w:t>
      </w:r>
      <w:r w:rsidRPr="007E4F42">
        <w:rPr>
          <w:rStyle w:val="apple-converted-space"/>
          <w:rFonts w:ascii="Verdana" w:hAnsi="Verdana"/>
          <w:color w:val="000000"/>
          <w:sz w:val="22"/>
          <w:szCs w:val="22"/>
        </w:rPr>
        <w:t> </w:t>
      </w:r>
      <w:r w:rsidRPr="007E4F42">
        <w:rPr>
          <w:rFonts w:ascii="Verdana" w:hAnsi="Verdana"/>
          <w:color w:val="000000"/>
          <w:sz w:val="22"/>
          <w:szCs w:val="22"/>
        </w:rPr>
        <w:t>Vt.</w:t>
      </w:r>
      <w:r w:rsidRPr="007E4F42">
        <w:rPr>
          <w:rStyle w:val="apple-converted-space"/>
          <w:rFonts w:ascii="Verdana" w:hAnsi="Verdana"/>
          <w:color w:val="000000"/>
          <w:sz w:val="22"/>
          <w:szCs w:val="22"/>
        </w:rPr>
        <w:t> </w:t>
      </w:r>
      <w:r w:rsidRPr="007E4F42">
        <w:rPr>
          <w:rFonts w:ascii="Verdana" w:hAnsi="Verdana"/>
          <w:color w:val="000000"/>
          <w:sz w:val="22"/>
          <w:szCs w:val="22"/>
        </w:rPr>
        <w:t xml:space="preserve">681, the court held that a promise by defendant to pay for the past keeping of a bull which had escaped from defendant's premises and been cared for by plaintiff was valid, although there was no previous request, because the subsequent promise obviated that objection; it being </w:t>
      </w:r>
      <w:r w:rsidRPr="007E4F42">
        <w:rPr>
          <w:rFonts w:ascii="Verdana" w:hAnsi="Verdana"/>
          <w:color w:val="000000"/>
          <w:sz w:val="22"/>
          <w:szCs w:val="22"/>
        </w:rPr>
        <w:lastRenderedPageBreak/>
        <w:t>equivalent to a previous request. On the same principle, had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 xml:space="preserve">promise </w:t>
      </w:r>
      <w:r w:rsidRPr="007E4F42">
        <w:rPr>
          <w:rFonts w:ascii="Verdana" w:hAnsi="Verdana"/>
          <w:color w:val="000000"/>
          <w:sz w:val="22"/>
          <w:szCs w:val="22"/>
        </w:rPr>
        <w:t>saved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promisor's</w:t>
      </w:r>
      <w:r w:rsidRPr="007E4F42">
        <w:rPr>
          <w:rStyle w:val="apple-converted-space"/>
          <w:rFonts w:ascii="Verdana" w:hAnsi="Verdana"/>
          <w:color w:val="000000"/>
          <w:sz w:val="22"/>
          <w:szCs w:val="22"/>
        </w:rPr>
        <w:t> </w:t>
      </w:r>
      <w:r w:rsidRPr="007E4F42">
        <w:rPr>
          <w:rFonts w:ascii="Verdana" w:hAnsi="Verdana"/>
          <w:color w:val="000000"/>
          <w:sz w:val="22"/>
          <w:szCs w:val="22"/>
        </w:rPr>
        <w:t>life or his body from grievous harm, his subsequent promise to pay for</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the</w:t>
      </w:r>
      <w:r w:rsidRPr="007E4F42">
        <w:rPr>
          <w:rStyle w:val="apple-converted-space"/>
          <w:rFonts w:ascii="Verdana" w:hAnsi="Verdana"/>
          <w:color w:val="000000"/>
          <w:sz w:val="22"/>
          <w:szCs w:val="22"/>
        </w:rPr>
        <w:t> </w:t>
      </w:r>
      <w:r w:rsidRPr="007E4F42">
        <w:rPr>
          <w:rFonts w:ascii="Verdana" w:hAnsi="Verdana"/>
          <w:color w:val="000000"/>
          <w:sz w:val="22"/>
          <w:szCs w:val="22"/>
        </w:rPr>
        <w:t>services rendered would have been valid. Such service would have been far more material than caring for his bull. Any holding that saving a man from death or grievous bodily harm is not a material benefit sufficient to uphold a subsequent promise to pay for the service, necessarily rests on the assumption that saving life and preservation of the body from harm have only a sentimental value. The converse of this is true. Life and preservation of the body have material, pecuniary values, measurable in dollars and cents. Because of this, physicians practice their profession charging for services rendered in saving life and curing the body of its ills, and surgeons perform operations. The same is true as to the law of negligence, au</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theorizing</w:t>
      </w:r>
      <w:r w:rsidRPr="007E4F42">
        <w:rPr>
          <w:rStyle w:val="apple-converted-space"/>
          <w:rFonts w:ascii="Verdana" w:hAnsi="Verdana"/>
          <w:color w:val="000000"/>
          <w:sz w:val="22"/>
          <w:szCs w:val="22"/>
        </w:rPr>
        <w:t> </w:t>
      </w:r>
      <w:r w:rsidRPr="007E4F42">
        <w:rPr>
          <w:rFonts w:ascii="Verdana" w:hAnsi="Verdana"/>
          <w:color w:val="000000"/>
          <w:sz w:val="22"/>
          <w:szCs w:val="22"/>
        </w:rPr>
        <w:t>the assessment of damages in personal injury cases based upon the extent of the injuries, earnings, and life expectancies of</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those</w:t>
      </w:r>
      <w:r w:rsidRPr="007E4F42">
        <w:rPr>
          <w:rStyle w:val="apple-converted-space"/>
          <w:rFonts w:ascii="Verdana" w:hAnsi="Verdana"/>
          <w:color w:val="000000"/>
          <w:sz w:val="22"/>
          <w:szCs w:val="22"/>
        </w:rPr>
        <w:t> </w:t>
      </w:r>
      <w:r w:rsidRPr="007E4F42">
        <w:rPr>
          <w:rFonts w:ascii="Verdana" w:hAnsi="Verdana"/>
          <w:color w:val="000000"/>
          <w:sz w:val="22"/>
          <w:szCs w:val="22"/>
        </w:rPr>
        <w:t>injured.</w:t>
      </w:r>
    </w:p>
    <w:p w14:paraId="3351329D"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4D0F6D34"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In the business of life insurance, the value of a man's life is measured in dollars and cents according to his expectancy, the soundness of his body, and his ability to pay premiums. The same is true as to health and accident insurance.</w:t>
      </w:r>
    </w:p>
    <w:p w14:paraId="63DD3842"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38C42A0C"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It follows that if, as alleged in the complaint, appellant saved J. Greeley</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 xml:space="preserve">from death or grievous bodily harm, and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subsequently agreed to pay him for the service rendered, it became a valid and</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enforecable</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contract.</w:t>
      </w:r>
    </w:p>
    <w:p w14:paraId="588DE1AE"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5617A973"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xml:space="preserve">2.  It is well settled that a moral obligation is a sufficient consideration to support a subsequent promise to pay where the </w:t>
      </w:r>
      <w:r w:rsidRPr="007E4F42">
        <w:rPr>
          <w:rStyle w:val="spelle"/>
          <w:rFonts w:ascii="Verdana" w:hAnsi="Verdana"/>
          <w:color w:val="000000"/>
          <w:sz w:val="22"/>
          <w:szCs w:val="22"/>
        </w:rPr>
        <w:t>promisor</w:t>
      </w:r>
      <w:r w:rsidRPr="007E4F42">
        <w:rPr>
          <w:rStyle w:val="apple-converted-space"/>
          <w:rFonts w:ascii="Verdana" w:hAnsi="Verdana"/>
          <w:color w:val="000000"/>
          <w:sz w:val="22"/>
          <w:szCs w:val="22"/>
        </w:rPr>
        <w:t> </w:t>
      </w:r>
      <w:r w:rsidRPr="007E4F42">
        <w:rPr>
          <w:rFonts w:ascii="Verdana" w:hAnsi="Verdana"/>
          <w:color w:val="000000"/>
          <w:sz w:val="22"/>
          <w:szCs w:val="22"/>
        </w:rPr>
        <w:t>has received a material benefit, although there was no original duty or liability resting on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w:t>
      </w:r>
      <w:r w:rsidRPr="007E4F42">
        <w:rPr>
          <w:rStyle w:val="apple-converted-space"/>
          <w:rFonts w:ascii="Verdana" w:hAnsi="Verdana"/>
          <w:color w:val="000000"/>
          <w:sz w:val="22"/>
          <w:szCs w:val="22"/>
        </w:rPr>
        <w:t> </w:t>
      </w:r>
      <w:proofErr w:type="gramStart"/>
      <w:r w:rsidRPr="007E4F42">
        <w:rPr>
          <w:rFonts w:ascii="Verdana" w:hAnsi="Verdana"/>
          <w:color w:val="000000"/>
          <w:sz w:val="22"/>
          <w:szCs w:val="22"/>
        </w:rPr>
        <w:t>. . . .</w:t>
      </w:r>
      <w:proofErr w:type="gramEnd"/>
    </w:p>
    <w:p w14:paraId="64CC876D"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15745AF5"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The case at bar is clearly distinguishable from that class of cases where the consideration is a mere moral obligation or conscientious duty unconnected with receipt by</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w:t>
      </w:r>
      <w:r w:rsidRPr="007E4F42">
        <w:rPr>
          <w:rStyle w:val="apple-converted-space"/>
          <w:rFonts w:ascii="Verdana" w:hAnsi="Verdana"/>
          <w:color w:val="000000"/>
          <w:sz w:val="22"/>
          <w:szCs w:val="22"/>
        </w:rPr>
        <w:t> </w:t>
      </w:r>
      <w:r w:rsidRPr="007E4F42">
        <w:rPr>
          <w:rFonts w:ascii="Verdana" w:hAnsi="Verdana"/>
          <w:color w:val="000000"/>
          <w:sz w:val="22"/>
          <w:szCs w:val="22"/>
        </w:rPr>
        <w:t>of benefits of a material or pecuniary nature. Park Falls State Bank v. Fordyce, supra. Here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w:t>
      </w:r>
      <w:r w:rsidRPr="007E4F42">
        <w:rPr>
          <w:rStyle w:val="apple-converted-space"/>
          <w:rFonts w:ascii="Verdana" w:hAnsi="Verdana"/>
          <w:color w:val="000000"/>
          <w:sz w:val="22"/>
          <w:szCs w:val="22"/>
        </w:rPr>
        <w:t> </w:t>
      </w:r>
      <w:r w:rsidRPr="007E4F42">
        <w:rPr>
          <w:rFonts w:ascii="Verdana" w:hAnsi="Verdana"/>
          <w:color w:val="000000"/>
          <w:sz w:val="22"/>
          <w:szCs w:val="22"/>
        </w:rPr>
        <w:t>received a material benefit constituting a valid consideration for his promise.</w:t>
      </w:r>
    </w:p>
    <w:p w14:paraId="2BD2343C"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3A2AA35C"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3.  Some authorities hold that, for a moral obligation to support a subsequent promise to pay, there must have existed a prior legal or equitable obligation, which for some reason had become unenforceable, but for which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w:t>
      </w:r>
      <w:r w:rsidRPr="007E4F42">
        <w:rPr>
          <w:rStyle w:val="apple-converted-space"/>
          <w:rFonts w:ascii="Verdana" w:hAnsi="Verdana"/>
          <w:color w:val="000000"/>
          <w:sz w:val="22"/>
          <w:szCs w:val="22"/>
        </w:rPr>
        <w:t> </w:t>
      </w:r>
      <w:r w:rsidRPr="007E4F42">
        <w:rPr>
          <w:rFonts w:ascii="Verdana" w:hAnsi="Verdana"/>
          <w:color w:val="000000"/>
          <w:sz w:val="22"/>
          <w:szCs w:val="22"/>
        </w:rPr>
        <w:t>was still morally bound. This rule, however, is subject to qualification in those cases where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w:t>
      </w:r>
      <w:r w:rsidRPr="007E4F42">
        <w:rPr>
          <w:rFonts w:ascii="Verdana" w:hAnsi="Verdana"/>
          <w:color w:val="000000"/>
          <w:sz w:val="22"/>
          <w:szCs w:val="22"/>
        </w:rPr>
        <w:t xml:space="preserve">, having received a material benefit from </w:t>
      </w:r>
      <w:proofErr w:type="spellStart"/>
      <w:r w:rsidRPr="007E4F42">
        <w:rPr>
          <w:rFonts w:ascii="Verdana" w:hAnsi="Verdana"/>
          <w:color w:val="000000"/>
          <w:sz w:val="22"/>
          <w:szCs w:val="22"/>
        </w:rPr>
        <w:t>the</w:t>
      </w:r>
      <w:r w:rsidRPr="007E4F42">
        <w:rPr>
          <w:rStyle w:val="spelle"/>
          <w:rFonts w:ascii="Verdana" w:hAnsi="Verdana"/>
          <w:color w:val="000000"/>
          <w:sz w:val="22"/>
          <w:szCs w:val="22"/>
        </w:rPr>
        <w:t>promisee</w:t>
      </w:r>
      <w:proofErr w:type="spellEnd"/>
      <w:r w:rsidRPr="007E4F42">
        <w:rPr>
          <w:rFonts w:ascii="Verdana" w:hAnsi="Verdana"/>
          <w:color w:val="000000"/>
          <w:sz w:val="22"/>
          <w:szCs w:val="22"/>
        </w:rPr>
        <w:t>, is morally bound to compensate him for the services rendered and in consideration of this obligation promises to pay. In such cases the subsequent promise to pay is an</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affirmance</w:t>
      </w:r>
      <w:r w:rsidRPr="007E4F42">
        <w:rPr>
          <w:rStyle w:val="apple-converted-space"/>
          <w:rFonts w:ascii="Verdana" w:hAnsi="Verdana"/>
          <w:color w:val="000000"/>
          <w:sz w:val="22"/>
          <w:szCs w:val="22"/>
        </w:rPr>
        <w:t> </w:t>
      </w:r>
      <w:r w:rsidRPr="007E4F42">
        <w:rPr>
          <w:rFonts w:ascii="Verdana" w:hAnsi="Verdana"/>
          <w:color w:val="000000"/>
          <w:sz w:val="22"/>
          <w:szCs w:val="22"/>
        </w:rPr>
        <w:t>or ratification of the services rendered carrying with it the presumption that a previous request for the service was made.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McMorris</w:t>
      </w:r>
      <w:r w:rsidRPr="007E4F42">
        <w:rPr>
          <w:rStyle w:val="apple-converted-space"/>
          <w:rFonts w:ascii="Verdana" w:hAnsi="Verdana"/>
          <w:color w:val="000000"/>
          <w:sz w:val="22"/>
          <w:szCs w:val="22"/>
        </w:rPr>
        <w:t> </w:t>
      </w:r>
      <w:r w:rsidRPr="007E4F42">
        <w:rPr>
          <w:rFonts w:ascii="Verdana" w:hAnsi="Verdana"/>
          <w:color w:val="000000"/>
          <w:sz w:val="22"/>
          <w:szCs w:val="22"/>
        </w:rPr>
        <w:t>v. Herndon, 2 Bailey (S.C.) 56, 21</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Am.Dec</w:t>
      </w:r>
      <w:proofErr w:type="spellEnd"/>
      <w:r w:rsidRPr="007E4F42">
        <w:rPr>
          <w:rFonts w:ascii="Verdana" w:hAnsi="Verdana"/>
          <w:color w:val="000000"/>
          <w:sz w:val="22"/>
          <w:szCs w:val="22"/>
        </w:rPr>
        <w:t>. 515; Chadwick v. Knox, 31 N.H. 226, 64</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Am.Dec</w:t>
      </w:r>
      <w:proofErr w:type="spellEnd"/>
      <w:r w:rsidRPr="007E4F42">
        <w:rPr>
          <w:rFonts w:ascii="Verdana" w:hAnsi="Verdana"/>
          <w:color w:val="000000"/>
          <w:sz w:val="22"/>
          <w:szCs w:val="22"/>
        </w:rPr>
        <w:t>. 329;</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Kenan</w:t>
      </w:r>
      <w:r w:rsidRPr="007E4F42">
        <w:rPr>
          <w:rStyle w:val="apple-converted-space"/>
          <w:rFonts w:ascii="Verdana" w:hAnsi="Verdana"/>
          <w:color w:val="000000"/>
          <w:sz w:val="22"/>
          <w:szCs w:val="22"/>
        </w:rPr>
        <w:t> </w:t>
      </w:r>
      <w:r w:rsidRPr="007E4F42">
        <w:rPr>
          <w:rFonts w:ascii="Verdana" w:hAnsi="Verdana"/>
          <w:color w:val="000000"/>
          <w:sz w:val="22"/>
          <w:szCs w:val="22"/>
        </w:rPr>
        <w:t>v. Holloway, 16</w:t>
      </w:r>
      <w:r w:rsidRPr="007E4F42">
        <w:rPr>
          <w:rStyle w:val="apple-converted-space"/>
          <w:rFonts w:ascii="Verdana" w:hAnsi="Verdana"/>
          <w:color w:val="000000"/>
          <w:sz w:val="22"/>
          <w:szCs w:val="22"/>
        </w:rPr>
        <w:t> </w:t>
      </w:r>
      <w:r w:rsidRPr="007E4F42">
        <w:rPr>
          <w:rFonts w:ascii="Verdana" w:hAnsi="Verdana"/>
          <w:color w:val="000000"/>
          <w:sz w:val="22"/>
          <w:szCs w:val="22"/>
        </w:rPr>
        <w:t>Ala.</w:t>
      </w:r>
      <w:r w:rsidRPr="007E4F42">
        <w:rPr>
          <w:rStyle w:val="apple-converted-space"/>
          <w:rFonts w:ascii="Verdana" w:hAnsi="Verdana"/>
          <w:color w:val="000000"/>
          <w:sz w:val="22"/>
          <w:szCs w:val="22"/>
        </w:rPr>
        <w:t> </w:t>
      </w:r>
      <w:r w:rsidRPr="007E4F42">
        <w:rPr>
          <w:rFonts w:ascii="Verdana" w:hAnsi="Verdana"/>
          <w:color w:val="000000"/>
          <w:sz w:val="22"/>
          <w:szCs w:val="22"/>
        </w:rPr>
        <w:t>53, 50</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Am.Dec</w:t>
      </w:r>
      <w:proofErr w:type="spellEnd"/>
      <w:r w:rsidRPr="007E4F42">
        <w:rPr>
          <w:rFonts w:ascii="Verdana" w:hAnsi="Verdana"/>
          <w:color w:val="000000"/>
          <w:sz w:val="22"/>
          <w:szCs w:val="22"/>
        </w:rPr>
        <w:t>. 162; Ross v. Pearson, 21</w:t>
      </w:r>
      <w:r w:rsidRPr="007E4F42">
        <w:rPr>
          <w:rStyle w:val="apple-converted-space"/>
          <w:rFonts w:ascii="Verdana" w:hAnsi="Verdana"/>
          <w:color w:val="000000"/>
          <w:sz w:val="22"/>
          <w:szCs w:val="22"/>
        </w:rPr>
        <w:t> </w:t>
      </w:r>
      <w:r w:rsidRPr="007E4F42">
        <w:rPr>
          <w:rFonts w:ascii="Verdana" w:hAnsi="Verdana"/>
          <w:color w:val="000000"/>
          <w:sz w:val="22"/>
          <w:szCs w:val="22"/>
        </w:rPr>
        <w:t>Ala.</w:t>
      </w:r>
      <w:r w:rsidRPr="007E4F42">
        <w:rPr>
          <w:rStyle w:val="apple-converted-space"/>
          <w:rFonts w:ascii="Verdana" w:hAnsi="Verdana"/>
          <w:color w:val="000000"/>
          <w:sz w:val="22"/>
          <w:szCs w:val="22"/>
        </w:rPr>
        <w:t> </w:t>
      </w:r>
      <w:r w:rsidRPr="007E4F42">
        <w:rPr>
          <w:rFonts w:ascii="Verdana" w:hAnsi="Verdana"/>
          <w:color w:val="000000"/>
          <w:sz w:val="22"/>
          <w:szCs w:val="22"/>
        </w:rPr>
        <w:t>473.</w:t>
      </w:r>
    </w:p>
    <w:p w14:paraId="10C9D7CB"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2A683248"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Under the decisions above cited,</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McGowin's</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express promise to pay appellant for the services rendered was an</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affirmance</w:t>
      </w:r>
      <w:r w:rsidRPr="007E4F42">
        <w:rPr>
          <w:rStyle w:val="apple-converted-space"/>
          <w:rFonts w:ascii="Verdana" w:hAnsi="Verdana"/>
          <w:color w:val="000000"/>
          <w:sz w:val="22"/>
          <w:szCs w:val="22"/>
        </w:rPr>
        <w:t> </w:t>
      </w:r>
      <w:r w:rsidRPr="007E4F42">
        <w:rPr>
          <w:rFonts w:ascii="Verdana" w:hAnsi="Verdana"/>
          <w:color w:val="000000"/>
          <w:sz w:val="22"/>
          <w:szCs w:val="22"/>
        </w:rPr>
        <w:t>or ratification of what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appelant</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 xml:space="preserve">had </w:t>
      </w:r>
      <w:r w:rsidRPr="007E4F42">
        <w:rPr>
          <w:rFonts w:ascii="Verdana" w:hAnsi="Verdana"/>
          <w:color w:val="000000"/>
          <w:sz w:val="22"/>
          <w:szCs w:val="22"/>
        </w:rPr>
        <w:lastRenderedPageBreak/>
        <w:t>done raising the presumption that the services had been rendered at</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McGowin's</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request.</w:t>
      </w:r>
    </w:p>
    <w:p w14:paraId="7A5DBC16"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79058037"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4.  The averments of the complaint show that in saving</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from death or grievous bodily harm, appellant was crippled for life. This was part of the consideration of the contract declared on.</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 xml:space="preserve">was benefited. Appellant was injured. Benefit to the </w:t>
      </w:r>
      <w:r w:rsidRPr="007E4F42">
        <w:rPr>
          <w:rStyle w:val="spelle"/>
          <w:rFonts w:ascii="Verdana" w:hAnsi="Verdana"/>
          <w:color w:val="000000"/>
          <w:sz w:val="22"/>
          <w:szCs w:val="22"/>
        </w:rPr>
        <w:t>promisor</w:t>
      </w:r>
      <w:r w:rsidRPr="007E4F42">
        <w:rPr>
          <w:rStyle w:val="apple-converted-space"/>
          <w:rFonts w:ascii="Verdana" w:hAnsi="Verdana"/>
          <w:color w:val="000000"/>
          <w:sz w:val="22"/>
          <w:szCs w:val="22"/>
        </w:rPr>
        <w:t> </w:t>
      </w:r>
      <w:r w:rsidRPr="007E4F42">
        <w:rPr>
          <w:rFonts w:ascii="Verdana" w:hAnsi="Verdana"/>
          <w:color w:val="000000"/>
          <w:sz w:val="22"/>
          <w:szCs w:val="22"/>
        </w:rPr>
        <w:t>or injury to the</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promisee</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is a sufficient legal consideration for the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promisor's</w:t>
      </w:r>
      <w:r w:rsidRPr="007E4F42">
        <w:rPr>
          <w:rStyle w:val="apple-converted-space"/>
          <w:rFonts w:ascii="Verdana" w:hAnsi="Verdana"/>
          <w:color w:val="000000"/>
          <w:sz w:val="22"/>
          <w:szCs w:val="22"/>
        </w:rPr>
        <w:t> </w:t>
      </w:r>
      <w:r w:rsidRPr="007E4F42">
        <w:rPr>
          <w:rFonts w:ascii="Verdana" w:hAnsi="Verdana"/>
          <w:color w:val="000000"/>
          <w:sz w:val="22"/>
          <w:szCs w:val="22"/>
        </w:rPr>
        <w:t>agreement to pay. Fisher v.</w:t>
      </w:r>
      <w:r w:rsidRPr="007E4F42">
        <w:rPr>
          <w:rStyle w:val="apple-converted-space"/>
          <w:rFonts w:ascii="Verdana" w:hAnsi="Verdana"/>
          <w:color w:val="000000"/>
          <w:sz w:val="22"/>
          <w:szCs w:val="22"/>
        </w:rPr>
        <w:t> </w:t>
      </w:r>
      <w:r w:rsidRPr="007E4F42">
        <w:rPr>
          <w:rFonts w:ascii="Verdana" w:hAnsi="Verdana"/>
          <w:color w:val="000000"/>
          <w:sz w:val="22"/>
          <w:szCs w:val="22"/>
        </w:rPr>
        <w:t>Bartlett, 8</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Greenl</w:t>
      </w:r>
      <w:proofErr w:type="spellEnd"/>
      <w:r w:rsidRPr="007E4F42">
        <w:rPr>
          <w:rFonts w:ascii="Verdana" w:hAnsi="Verdana"/>
          <w:color w:val="000000"/>
          <w:sz w:val="22"/>
          <w:szCs w:val="22"/>
        </w:rPr>
        <w:t>. (Me.) 122, 22</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Am.Dec</w:t>
      </w:r>
      <w:proofErr w:type="spellEnd"/>
      <w:r w:rsidRPr="007E4F42">
        <w:rPr>
          <w:rFonts w:ascii="Verdana" w:hAnsi="Verdana"/>
          <w:color w:val="000000"/>
          <w:sz w:val="22"/>
          <w:szCs w:val="22"/>
        </w:rPr>
        <w:t>. 225; State ex</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rel</w:t>
      </w:r>
      <w:r w:rsidRPr="007E4F42">
        <w:rPr>
          <w:rFonts w:ascii="Verdana" w:hAnsi="Verdana"/>
          <w:color w:val="000000"/>
          <w:sz w:val="22"/>
          <w:szCs w:val="22"/>
        </w:rPr>
        <w:t>. Bayer v. Funk, supra.</w:t>
      </w:r>
    </w:p>
    <w:p w14:paraId="6314B14B"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 </w:t>
      </w:r>
    </w:p>
    <w:p w14:paraId="2BE27911"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5.  Under the averments of the complaint the services rendered by appellant were not gratuitous. The agreement of</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McGowin</w:t>
      </w:r>
      <w:proofErr w:type="spellEnd"/>
      <w:r w:rsidRPr="007E4F42">
        <w:rPr>
          <w:rStyle w:val="spelle"/>
          <w:rFonts w:ascii="Verdana" w:hAnsi="Verdana"/>
          <w:color w:val="000000"/>
          <w:sz w:val="22"/>
          <w:szCs w:val="22"/>
        </w:rPr>
        <w:t xml:space="preserve"> </w:t>
      </w:r>
      <w:r w:rsidRPr="007E4F42">
        <w:rPr>
          <w:rFonts w:ascii="Verdana" w:hAnsi="Verdana"/>
          <w:color w:val="000000"/>
          <w:sz w:val="22"/>
          <w:szCs w:val="22"/>
        </w:rPr>
        <w:t>to pay and the acceptance of payment by appellant conclusively shows the contrary.</w:t>
      </w:r>
    </w:p>
    <w:p w14:paraId="2A4B4D74" w14:textId="77777777" w:rsidR="005D588E" w:rsidRPr="007E4F42" w:rsidRDefault="005D588E" w:rsidP="005D588E">
      <w:pPr>
        <w:rPr>
          <w:rFonts w:ascii="Verdana" w:hAnsi="Verdana"/>
          <w:color w:val="000000"/>
          <w:sz w:val="22"/>
          <w:szCs w:val="22"/>
        </w:rPr>
      </w:pPr>
      <w:r w:rsidRPr="007E4F42">
        <w:rPr>
          <w:rFonts w:ascii="Verdana" w:hAnsi="Verdana"/>
          <w:color w:val="000000"/>
          <w:sz w:val="22"/>
          <w:szCs w:val="22"/>
        </w:rPr>
        <w:t>. . .</w:t>
      </w:r>
    </w:p>
    <w:p w14:paraId="25E73189" w14:textId="77777777" w:rsidR="005D588E" w:rsidRPr="007E4F42" w:rsidRDefault="005D588E" w:rsidP="005D588E">
      <w:pPr>
        <w:rPr>
          <w:rFonts w:ascii="Verdana" w:hAnsi="Verdana"/>
          <w:color w:val="000000"/>
          <w:sz w:val="22"/>
          <w:szCs w:val="22"/>
        </w:rPr>
      </w:pPr>
      <w:r w:rsidRPr="007E4F42">
        <w:rPr>
          <w:rFonts w:ascii="Verdana" w:hAnsi="Verdana"/>
          <w:color w:val="000000"/>
          <w:sz w:val="22"/>
          <w:szCs w:val="22"/>
        </w:rPr>
        <w:t> </w:t>
      </w:r>
    </w:p>
    <w:p w14:paraId="316418CE"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From what has been said, we are of the opinion that the court below erred in the ruling complained of; that is to say, in sustaining the demurrer, and for this error the case is reversed and remanded.</w:t>
      </w:r>
    </w:p>
    <w:p w14:paraId="68186DFA" w14:textId="77777777" w:rsidR="005D588E" w:rsidRPr="007E4F42" w:rsidRDefault="005D588E" w:rsidP="005D588E">
      <w:pPr>
        <w:rPr>
          <w:rFonts w:ascii="Verdana" w:hAnsi="Verdana"/>
          <w:color w:val="000000"/>
          <w:sz w:val="22"/>
          <w:szCs w:val="22"/>
        </w:rPr>
      </w:pPr>
      <w:r w:rsidRPr="007E4F42">
        <w:rPr>
          <w:rFonts w:ascii="Verdana" w:hAnsi="Verdana"/>
          <w:color w:val="000000"/>
          <w:sz w:val="22"/>
          <w:szCs w:val="22"/>
        </w:rPr>
        <w:t>Reversed and remanded.</w:t>
      </w:r>
    </w:p>
    <w:p w14:paraId="0C3FF32E" w14:textId="77777777" w:rsidR="005D588E" w:rsidRPr="007E4F42" w:rsidRDefault="005D588E" w:rsidP="005D588E">
      <w:pPr>
        <w:rPr>
          <w:rFonts w:ascii="Verdana" w:hAnsi="Verdana"/>
          <w:color w:val="000000"/>
          <w:sz w:val="22"/>
          <w:szCs w:val="22"/>
        </w:rPr>
      </w:pPr>
      <w:r w:rsidRPr="007E4F42">
        <w:rPr>
          <w:rStyle w:val="spelle"/>
          <w:rFonts w:ascii="Verdana" w:hAnsi="Verdana"/>
          <w:color w:val="000000"/>
          <w:sz w:val="22"/>
          <w:szCs w:val="22"/>
        </w:rPr>
        <w:t>Samford</w:t>
      </w:r>
      <w:r w:rsidRPr="007E4F42">
        <w:rPr>
          <w:rFonts w:ascii="Verdana" w:hAnsi="Verdana"/>
          <w:color w:val="000000"/>
          <w:sz w:val="22"/>
          <w:szCs w:val="22"/>
        </w:rPr>
        <w:t>, Judge (concurring).</w:t>
      </w:r>
    </w:p>
    <w:p w14:paraId="0C60D9A5" w14:textId="77777777" w:rsidR="005D588E" w:rsidRPr="007E4F42" w:rsidRDefault="005D588E" w:rsidP="005D588E">
      <w:pPr>
        <w:rPr>
          <w:rFonts w:ascii="Verdana" w:hAnsi="Verdana"/>
          <w:color w:val="000000"/>
          <w:sz w:val="22"/>
          <w:szCs w:val="22"/>
        </w:rPr>
      </w:pPr>
      <w:r w:rsidRPr="007E4F42">
        <w:rPr>
          <w:rFonts w:ascii="Verdana" w:hAnsi="Verdana"/>
          <w:color w:val="000000"/>
          <w:sz w:val="22"/>
          <w:szCs w:val="22"/>
        </w:rPr>
        <w:t> </w:t>
      </w:r>
    </w:p>
    <w:p w14:paraId="7A8A4FAD" w14:textId="77777777" w:rsidR="005D588E" w:rsidRPr="007E4F42" w:rsidRDefault="005D588E" w:rsidP="005D588E">
      <w:pPr>
        <w:ind w:firstLine="720"/>
        <w:rPr>
          <w:rFonts w:ascii="Verdana" w:hAnsi="Verdana"/>
          <w:color w:val="000000"/>
          <w:sz w:val="22"/>
          <w:szCs w:val="22"/>
        </w:rPr>
      </w:pPr>
      <w:r w:rsidRPr="007E4F42">
        <w:rPr>
          <w:rFonts w:ascii="Verdana" w:hAnsi="Verdana"/>
          <w:color w:val="000000"/>
          <w:sz w:val="22"/>
          <w:szCs w:val="22"/>
        </w:rPr>
        <w:t>The questions involved in this case are not free from doubt, and perhaps the strict letter of the rule, as stated by judges, though not always in accord, would bar a recovery by plaintiff, but following the principle announced by Chief Justice Marshall in Hoffman v. Porter, Fed.</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Cas</w:t>
      </w:r>
      <w:r w:rsidRPr="007E4F42">
        <w:rPr>
          <w:rFonts w:ascii="Verdana" w:hAnsi="Verdana"/>
          <w:color w:val="000000"/>
          <w:sz w:val="22"/>
          <w:szCs w:val="22"/>
        </w:rPr>
        <w:t>. No. 6,577, 2 Brock. 156, 159, where he says, "I do not think that law ought to be separated from justice, where it is at most doubtful," I concur in the conclusions reached by the court.</w:t>
      </w:r>
    </w:p>
    <w:p w14:paraId="271F9DA7"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8E"/>
    <w:rsid w:val="003E1A1B"/>
    <w:rsid w:val="005D588E"/>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8FA3"/>
  <w15:chartTrackingRefBased/>
  <w15:docId w15:val="{58876250-AA93-4DE2-8298-4E1C48F2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8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588E"/>
  </w:style>
  <w:style w:type="character" w:customStyle="1" w:styleId="spelle">
    <w:name w:val="spelle"/>
    <w:basedOn w:val="DefaultParagraphFont"/>
    <w:rsid w:val="005D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2020-07-31T21:55:00Z</dcterms:created>
  <dcterms:modified xsi:type="dcterms:W3CDTF">2020-09-04T22:16:00Z</dcterms:modified>
</cp:coreProperties>
</file>