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1C87" w14:textId="77777777" w:rsidR="008906F5" w:rsidRPr="007E4F42" w:rsidRDefault="008906F5" w:rsidP="008906F5">
      <w:pPr>
        <w:jc w:val="center"/>
        <w:outlineLvl w:val="0"/>
        <w:rPr>
          <w:rFonts w:ascii="Verdana" w:hAnsi="Verdana" w:cs="Arial"/>
          <w:sz w:val="22"/>
          <w:szCs w:val="22"/>
        </w:rPr>
      </w:pPr>
      <w:r w:rsidRPr="007E4F42">
        <w:rPr>
          <w:rFonts w:ascii="Verdana" w:hAnsi="Verdana" w:cs="Arial"/>
          <w:bCs/>
          <w:sz w:val="22"/>
          <w:szCs w:val="22"/>
        </w:rPr>
        <w:t>Angel v. Murray</w:t>
      </w:r>
      <w:r w:rsidRPr="007E4F42">
        <w:rPr>
          <w:rFonts w:ascii="Verdana" w:hAnsi="Verdana" w:cs="Arial"/>
          <w:sz w:val="22"/>
          <w:szCs w:val="22"/>
        </w:rPr>
        <w:t xml:space="preserve"> </w:t>
      </w:r>
      <w:r w:rsidRPr="007E4F42">
        <w:rPr>
          <w:rFonts w:ascii="Verdana" w:hAnsi="Verdana" w:cs="Arial"/>
          <w:sz w:val="22"/>
          <w:szCs w:val="22"/>
        </w:rPr>
        <w:br/>
      </w:r>
      <w:r w:rsidRPr="007E4F42">
        <w:rPr>
          <w:rFonts w:ascii="Verdana" w:hAnsi="Verdana" w:cs="Arial"/>
          <w:bCs/>
          <w:sz w:val="22"/>
          <w:szCs w:val="22"/>
        </w:rPr>
        <w:t>322 A.2d 630 (R.I. 1974)</w:t>
      </w:r>
      <w:r w:rsidRPr="007E4F42">
        <w:rPr>
          <w:rFonts w:ascii="Verdana" w:hAnsi="Verdana" w:cs="Arial"/>
          <w:sz w:val="22"/>
          <w:szCs w:val="22"/>
        </w:rPr>
        <w:t xml:space="preserve"> </w:t>
      </w:r>
    </w:p>
    <w:p w14:paraId="0A1C28E9" w14:textId="77777777" w:rsidR="008906F5" w:rsidRPr="007E4F42" w:rsidRDefault="008906F5" w:rsidP="008906F5">
      <w:pPr>
        <w:pStyle w:val="NormalWeb"/>
        <w:jc w:val="center"/>
        <w:rPr>
          <w:rFonts w:ascii="Verdana" w:hAnsi="Verdana" w:cs="Arial"/>
          <w:sz w:val="22"/>
          <w:szCs w:val="22"/>
        </w:rPr>
      </w:pPr>
      <w:r w:rsidRPr="007E4F42">
        <w:rPr>
          <w:rFonts w:ascii="Verdana" w:hAnsi="Verdana" w:cs="Arial"/>
          <w:bCs/>
          <w:sz w:val="22"/>
          <w:szCs w:val="22"/>
        </w:rPr>
        <w:t>OPINION</w:t>
      </w:r>
    </w:p>
    <w:p w14:paraId="755A1928"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This is a civil action brought by Alfred L. Angel and others against John E. Murray, Jr., Director of Finance of the City of Newport, the city of Newport, and James L. Maher, alleging that Maher had illegally been paid the sum of $20,000 by the Director of Finance and praying that the defendant Maher be ordered to repay the city such sum. The case was heard by a justice of the Superior Court, sitting without a jury, who entered a judgment ordering Maher to repay the sum of $ 20,000 to the city of Newport. Maher is now before this court prosecuting an appeal. </w:t>
      </w:r>
    </w:p>
    <w:p w14:paraId="1C83FB4F"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record discloses that Maher has provided the city of Newport with a refuse-collection service under a series of five-year contracts beginning in 1946. On March 12, 1964, Maher and the city entered into another such contract for a period of five years commencing on July 1, 1964, and terminating on June 30, 1969. The contract provided, among other things, that Maher would receive $ 137,000 per year in return for collecting and removing all combustible and noncombustible waste materials generated within the city. </w:t>
      </w:r>
    </w:p>
    <w:p w14:paraId="0E4CCF35"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In June of 1967 Maher requested an additional $ 10,000 per year from the city council because there had been a substantial increase in the cost of collection due to an unexpected and unanticipated increase of 400 new dwelling units. Maher's testimony, which is uncontradicted, indicates the 1964 contract had been predicated on the fact that since 1946 there had been an average increase of 20 to 25 new dwelling units per year. </w:t>
      </w:r>
    </w:p>
    <w:p w14:paraId="33B5DF00"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After a public meeting of the city council where Maher explained in detail the reasons for his request and was questioned by members of the city council, the city council agreed to pay him an additional $ 10,000 for the year ending on June 30, 1968. Maher made a similar request again in June of 1968 for the same reasons, and the city council again agreed to pay an additional $10,000 for the year ending on June 30, 1969. </w:t>
      </w:r>
    </w:p>
    <w:p w14:paraId="6338C60F"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The trial justice found that each such $ 10,000 payment was made in violation of law</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[H]e found that Maher was not entitled to extra compensation because the original contract already required him to collect all refuse generated within the city and, therefore, included the 400 additional units . . . and thus there was no consideration for the two additional payments </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w:t>
      </w:r>
    </w:p>
    <w:p w14:paraId="14131D18" w14:textId="7C9D31D1" w:rsidR="008906F5" w:rsidRPr="007E4F42" w:rsidRDefault="008906F5" w:rsidP="008906F5">
      <w:pPr>
        <w:pStyle w:val="NormalWeb"/>
        <w:rPr>
          <w:rFonts w:ascii="Verdana" w:hAnsi="Verdana" w:cs="Arial"/>
          <w:sz w:val="22"/>
          <w:szCs w:val="22"/>
        </w:rPr>
      </w:pPr>
    </w:p>
    <w:p w14:paraId="3C4FEDEC" w14:textId="77777777" w:rsidR="008906F5" w:rsidRPr="007E4F42" w:rsidRDefault="008906F5" w:rsidP="008906F5">
      <w:pPr>
        <w:pStyle w:val="NormalWeb"/>
        <w:jc w:val="center"/>
        <w:rPr>
          <w:rFonts w:ascii="Verdana" w:hAnsi="Verdana" w:cs="Arial"/>
          <w:sz w:val="22"/>
          <w:szCs w:val="22"/>
        </w:rPr>
      </w:pPr>
      <w:r w:rsidRPr="007E4F42">
        <w:rPr>
          <w:rFonts w:ascii="Verdana" w:hAnsi="Verdana" w:cs="Arial"/>
          <w:sz w:val="22"/>
          <w:szCs w:val="22"/>
        </w:rPr>
        <w:t>-- A --</w:t>
      </w:r>
    </w:p>
    <w:p w14:paraId="61674628"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As previously stated, the city council made two $ 10,000 payments. The first was made in June of 1967 for the year beginning on July 1, 1967, and ending on </w:t>
      </w:r>
      <w:r w:rsidRPr="007E4F42">
        <w:rPr>
          <w:rFonts w:ascii="Verdana" w:hAnsi="Verdana" w:cs="Arial"/>
          <w:sz w:val="22"/>
          <w:szCs w:val="22"/>
        </w:rPr>
        <w:lastRenderedPageBreak/>
        <w:t xml:space="preserve">June 30, 1968. Thus, by the time this action was commenced in October of 1968, the modification was completely executed. That is, the money had been paid by the city council, and Maher had collected all of the refuse. Since consideration is only a test of the enforceability of executory promises, the presence or absence of consideration for the first payment is unimportant because the city council's agreement to make the first payment was fully executed at the time of the commencement of this action. However, since both payments were made under similar circumstances, our decision regarding the second payment (Part B, infra) is fully applicable to the first payment. </w:t>
      </w:r>
    </w:p>
    <w:p w14:paraId="51FB5B0D" w14:textId="77777777" w:rsidR="008906F5" w:rsidRPr="007E4F42" w:rsidRDefault="008906F5" w:rsidP="008906F5">
      <w:pPr>
        <w:pStyle w:val="NormalWeb"/>
        <w:jc w:val="center"/>
        <w:rPr>
          <w:rFonts w:ascii="Verdana" w:hAnsi="Verdana" w:cs="Arial"/>
          <w:sz w:val="22"/>
          <w:szCs w:val="22"/>
        </w:rPr>
      </w:pPr>
      <w:r w:rsidRPr="007E4F42">
        <w:rPr>
          <w:rFonts w:ascii="Verdana" w:hAnsi="Verdana" w:cs="Arial"/>
          <w:sz w:val="22"/>
          <w:szCs w:val="22"/>
        </w:rPr>
        <w:t>-- B --</w:t>
      </w:r>
    </w:p>
    <w:p w14:paraId="32E0D87E"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It is generally held that a modification of a contract is itself a contract, which is unenforceable unless supported by consideration </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w:t>
      </w:r>
    </w:p>
    <w:p w14:paraId="76DE1A49"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primary purpose of the preexisting duty rule is to prevent what has been referred to as the "hold-up game." See 1A Corbin, supra, § 171. A classic example of the "hold-up game" is found in Alaska Packers' </w:t>
      </w:r>
      <w:proofErr w:type="spellStart"/>
      <w:r w:rsidRPr="007E4F42">
        <w:rPr>
          <w:rFonts w:ascii="Verdana" w:hAnsi="Verdana" w:cs="Arial"/>
          <w:sz w:val="22"/>
          <w:szCs w:val="22"/>
        </w:rPr>
        <w:t>Ass'n</w:t>
      </w:r>
      <w:proofErr w:type="spellEnd"/>
      <w:r w:rsidRPr="007E4F42">
        <w:rPr>
          <w:rFonts w:ascii="Verdana" w:hAnsi="Verdana" w:cs="Arial"/>
          <w:sz w:val="22"/>
          <w:szCs w:val="22"/>
        </w:rPr>
        <w:t xml:space="preserve"> v. Domenico, 117 F. 99 (9th Cir. 1902). There 21 seamen entered into a written contract with Domenico to sail from San Francisco to Pyramid Harbor, Alaska. They were to work as sailors and fishermen out of Pyramid Harbor during the fishing season of 1900. The contract specified that each man would be paid $50 plus two cents for each red salmon he caught. Subsequent to their arrival at Pyramid Harbor, the men stopped work and demanded an additional $50. They threatened to return to San Francisco if Domenico did not agree to their demand. Since it was impossible for Domenico to find other men, he agreed to pay the men an additional $50. </w:t>
      </w:r>
    </w:p>
    <w:p w14:paraId="41A34B6B"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After they returned to San Francisco, Domenico refused to pay the men an additional $50. The court found that the subsequent agreement to pay the men an additional $50 was not supported by consideration because the men had a preexisting duty to work on the ship under the original contract, and thus the subsequent agreement was unenforceable. </w:t>
      </w:r>
    </w:p>
    <w:p w14:paraId="30912D1A"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Another example of the "hold-up game" is found in the area of construction contracts. Frequently, a contractor will refuse to complete work under an unprofitable contract unless he is awarded additional compensation. The courts have generally held that a subsequent agreement to award additional compensation is unenforceable if the contractor is only performing work which would have been required of him under the original contract. See, e.g., </w:t>
      </w:r>
      <w:proofErr w:type="spellStart"/>
      <w:r w:rsidRPr="007E4F42">
        <w:rPr>
          <w:rFonts w:ascii="Verdana" w:hAnsi="Verdana" w:cs="Arial"/>
          <w:sz w:val="22"/>
          <w:szCs w:val="22"/>
        </w:rPr>
        <w:t>Lingenfelder</w:t>
      </w:r>
      <w:proofErr w:type="spellEnd"/>
      <w:r w:rsidRPr="007E4F42">
        <w:rPr>
          <w:rFonts w:ascii="Verdana" w:hAnsi="Verdana" w:cs="Arial"/>
          <w:sz w:val="22"/>
          <w:szCs w:val="22"/>
        </w:rPr>
        <w:t xml:space="preserve"> v. Wainwright Brewing Co., 103 Mo. 578, 15 S.W. 844 (1891), which is a leading case in this area</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w:t>
      </w:r>
    </w:p>
    <w:p w14:paraId="4C7C0122"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These examples clearly illustrate that the courts will not enforce an agreement that has been procured by coercion or duress and will hold the parties to their original contract regardless of whether it is profitable or unprofitable. However, the courts have been reluctant to apply the pre-existing duty rule when a party to a contract encounters unanticipated difficulties and the other party, not influenced by coercion or duress, voluntarily agrees to pay additional compensation </w:t>
      </w:r>
      <w:r w:rsidRPr="007E4F42">
        <w:rPr>
          <w:rFonts w:ascii="Verdana" w:hAnsi="Verdana" w:cs="Arial"/>
          <w:sz w:val="22"/>
          <w:szCs w:val="22"/>
        </w:rPr>
        <w:lastRenderedPageBreak/>
        <w:t xml:space="preserve">for work already required to be performed under the contract. For example, the courts have found that the original contract was rescinded, Linz v. Schuck, 106 Md. 220, 67 A. 286 (1907); abandoned, Connelly v. </w:t>
      </w:r>
      <w:proofErr w:type="spellStart"/>
      <w:r w:rsidRPr="007E4F42">
        <w:rPr>
          <w:rFonts w:ascii="Verdana" w:hAnsi="Verdana" w:cs="Arial"/>
          <w:sz w:val="22"/>
          <w:szCs w:val="22"/>
        </w:rPr>
        <w:t>Devoe</w:t>
      </w:r>
      <w:proofErr w:type="spellEnd"/>
      <w:r w:rsidRPr="007E4F42">
        <w:rPr>
          <w:rFonts w:ascii="Verdana" w:hAnsi="Verdana" w:cs="Arial"/>
          <w:sz w:val="22"/>
          <w:szCs w:val="22"/>
        </w:rPr>
        <w:t xml:space="preserve">, 37 Conn. 570 (1871), or waived, Michaud v. MacGregor, 61 Minn. 198, 63 N.W. 479 (1895).  Although the preexisting duty rule has served a useful purpose insofar as it deters parties from using coercion and duress to obtain additional compensation, it has been widely criticized as a general rule of law. With regard to the preexisting duty rule, one legal scholar has stated: "There has been a growing doubt as to the soundness of this doctrine as a matter of social policy. * * * In certain classes of cases, this doubt has influenced courts to refuse to apply the rule, or to ignore it, in their actual decisions. Like other legal rules, this rule is in process of growth and change, the process being more active here than in most instances. The result of this is that a court should no longer accept this rule as fully established. It should never use it as the major premise of a decision, at least without giving careful thought to the circumstances of the particular case, to the moral deserts of the parties, and to the social feelings and interests that are involved. It is certain that the rule, stated in general and all-inclusive terms, is no longer so well-settled that a court must apply it though the heavens fall." 1A Corbin, supra, § 171; see also Calamari &amp; </w:t>
      </w:r>
      <w:proofErr w:type="spellStart"/>
      <w:r w:rsidRPr="007E4F42">
        <w:rPr>
          <w:rFonts w:ascii="Verdana" w:hAnsi="Verdana" w:cs="Arial"/>
          <w:sz w:val="22"/>
          <w:szCs w:val="22"/>
        </w:rPr>
        <w:t>Perillo</w:t>
      </w:r>
      <w:proofErr w:type="spellEnd"/>
      <w:r w:rsidRPr="007E4F42">
        <w:rPr>
          <w:rFonts w:ascii="Verdana" w:hAnsi="Verdana" w:cs="Arial"/>
          <w:sz w:val="22"/>
          <w:szCs w:val="22"/>
        </w:rPr>
        <w:t xml:space="preserve">, supra, § 61. </w:t>
      </w:r>
    </w:p>
    <w:p w14:paraId="4C444227"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modern trend appears to recognize the necessity that courts should enforce agreements modifying contracts when unexpected or unanticipated difficulties arise during the course of the performance of a contract, even though there is no consideration for the modification, as long as the parties agree voluntarily.  </w:t>
      </w:r>
    </w:p>
    <w:p w14:paraId="71AAB2F9"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Under the Uniform Commercial Code, § 2-209(1), which has been adopted by 49 states, "[an] agreement modifying a contract [for the sale of goods] needs no consideration to be binding." See G. L. 1956 (1969 Reenactment) § 6A-2-209(1). Although at first blush this section appears to validate modifications obtained by coercion and duress, the comments to this section indicate that a modification under this section must meet the test of good faith imposed by the Code, and a modification obtained by extortion without a legitimate commercial reason is unenforceable. </w:t>
      </w:r>
    </w:p>
    <w:p w14:paraId="3CA0EE5F"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modern trend away from a rigid application of the preexisting duty rule is reflected by § 89D(a) of the American Law Institute's Restatement Second of the Law of Contracts, which provides: </w:t>
      </w:r>
    </w:p>
    <w:p w14:paraId="04E58C5B" w14:textId="77777777" w:rsidR="008906F5" w:rsidRPr="007E4F42" w:rsidRDefault="008906F5" w:rsidP="008906F5">
      <w:pPr>
        <w:pStyle w:val="NormalWeb"/>
        <w:ind w:left="720"/>
        <w:rPr>
          <w:rFonts w:ascii="Verdana" w:hAnsi="Verdana" w:cs="Arial"/>
          <w:sz w:val="22"/>
          <w:szCs w:val="22"/>
        </w:rPr>
      </w:pPr>
      <w:r w:rsidRPr="007E4F42">
        <w:rPr>
          <w:rFonts w:ascii="Verdana" w:hAnsi="Verdana" w:cs="Arial"/>
          <w:sz w:val="22"/>
          <w:szCs w:val="22"/>
        </w:rPr>
        <w:t xml:space="preserve">"A promise modifying a duty under a contract not fully performed on either side is binding (a) if the modification is fair and equitable in view of circumstances not anticipated by the parties when the contract was made * * *." </w:t>
      </w:r>
    </w:p>
    <w:p w14:paraId="75462A5D" w14:textId="77777777" w:rsidR="008906F5" w:rsidRPr="007E4F42" w:rsidRDefault="008906F5" w:rsidP="008906F5">
      <w:pPr>
        <w:pStyle w:val="NormalWeb"/>
        <w:rPr>
          <w:rFonts w:ascii="Verdana" w:hAnsi="Verdana" w:cs="Arial"/>
          <w:sz w:val="22"/>
          <w:szCs w:val="22"/>
        </w:rPr>
      </w:pPr>
      <w:r w:rsidRPr="007E4F42">
        <w:rPr>
          <w:rFonts w:ascii="Verdana" w:hAnsi="Verdana" w:cs="Arial"/>
          <w:sz w:val="22"/>
          <w:szCs w:val="22"/>
        </w:rPr>
        <w:t xml:space="preserve">We believe that § 89D(a) is the proper rule of law and find it applicable to the facts of this case. It not only prohibits modifications obtained by coercion, duress, or extortion but also fulfills society's expectation that agreements entered into voluntarily will be enforced by the courts. See generally Horwitz, The Historical </w:t>
      </w:r>
      <w:r w:rsidRPr="007E4F42">
        <w:rPr>
          <w:rFonts w:ascii="Verdana" w:hAnsi="Verdana" w:cs="Arial"/>
          <w:sz w:val="22"/>
          <w:szCs w:val="22"/>
        </w:rPr>
        <w:lastRenderedPageBreak/>
        <w:t xml:space="preserve">Foundations of Modern Contract Law, 87 Harv. L. Rev. 917 (1974). Section 89D(a), of course, does not compel a modification of an unprofitable or unfair contract; it only enforces a modification if the parties voluntarily agree and if (1) the promise modifying the original contract was made before the contract was fully performed on either side, (2) the underlying circumstances which prompted the modification were unanticipated by the parties, and (3) the modification is fair and equitable. </w:t>
      </w:r>
    </w:p>
    <w:p w14:paraId="1FD4318A"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evidence, which is uncontradicted, reveals that in June of 1968 Maher requested the city council to pay him an additional $ 10,000 for the year beginning on July 1, 1968, and ending on June 30, 1969. This request was made at a public meeting of the city council, where Maher explained in detail his reasons for making the request. Thereafter, the city council voted to authorize the Mayor to sign an amendment to the 1954 contract which provided that Maher would receive an additional $ 10,000 per year for the duration of the contract. Under such circumstances we have no doubt that the city voluntarily agreed to modify the 1964 contract. </w:t>
      </w:r>
    </w:p>
    <w:p w14:paraId="2A7D496F"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Having determined the voluntariness of this agreement, we turn our attention to the three criteria delineated above. First, the modification was made in June of 1968 at a time when the five-year contract which was made in 1964 had not been fully performed by either party. Second, although the 1964 contract provided that Maher collect all refuse generated within the city, it appears this contract was premised on Maher's past experience that the number of refuse-generating units would increase at a rate of 20 to 25 per year. Furthermore, the evidence is uncontradicted that the 1967-1968 increase of 400 units "went beyond any previous expectation." Clearly, the circumstances which prompted the city council to modify the 1964 contract were unanticipated. Third, although the evidence does not indicate what proportion of the total this increase comprised, the evidence does indicate that it was a "substantial" increase. In light of this, we cannot say that the council's agreement to pay Maher the $ 10,000 increase was not fair and equitable in the circumstances. </w:t>
      </w:r>
    </w:p>
    <w:p w14:paraId="2376FA0C" w14:textId="77777777" w:rsidR="008906F5" w:rsidRPr="007E4F42" w:rsidRDefault="008906F5" w:rsidP="008906F5">
      <w:pPr>
        <w:pStyle w:val="NormalWeb"/>
        <w:ind w:firstLine="720"/>
        <w:rPr>
          <w:rFonts w:ascii="Verdana" w:hAnsi="Verdana" w:cs="Arial"/>
          <w:sz w:val="22"/>
          <w:szCs w:val="22"/>
        </w:rPr>
      </w:pPr>
      <w:r w:rsidRPr="007E4F42">
        <w:rPr>
          <w:rFonts w:ascii="Verdana" w:hAnsi="Verdana" w:cs="Arial"/>
          <w:sz w:val="22"/>
          <w:szCs w:val="22"/>
        </w:rPr>
        <w:t xml:space="preserve">The judgment appealed from is reversed, and the cause is remanded to the Superior Court for entry of judgment for the defendants. </w:t>
      </w:r>
    </w:p>
    <w:p w14:paraId="26636638"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5"/>
    <w:rsid w:val="00325232"/>
    <w:rsid w:val="004B023F"/>
    <w:rsid w:val="008906F5"/>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7FE7"/>
  <w15:chartTrackingRefBased/>
  <w15:docId w15:val="{7F10AC5B-2A3F-4932-A5C4-7D3FC826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F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0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2020-07-23T01:00:00Z</dcterms:created>
  <dcterms:modified xsi:type="dcterms:W3CDTF">2020-09-02T20:19:00Z</dcterms:modified>
</cp:coreProperties>
</file>